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67138D0D" w:rsidR="00A53FB3" w:rsidRDefault="00A53FB3" w:rsidP="00A53FB3">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sidR="000A6C4F">
        <w:rPr>
          <w:rFonts w:cs="Arial"/>
          <w:bCs/>
          <w:color w:val="000000"/>
        </w:rPr>
        <w:t>2</w:t>
      </w:r>
      <w:r w:rsidR="00561946">
        <w:rPr>
          <w:rFonts w:cs="Arial"/>
          <w:bCs/>
          <w:color w:val="000000"/>
        </w:rPr>
        <w:t>7</w:t>
      </w:r>
      <w:r w:rsidR="00DA7F27">
        <w:rPr>
          <w:rFonts w:cs="Arial"/>
          <w:bCs/>
          <w:color w:val="000000"/>
        </w:rPr>
        <w:t>.0</w:t>
      </w:r>
      <w:r w:rsidR="000A6C4F">
        <w:rPr>
          <w:rFonts w:cs="Arial"/>
          <w:bCs/>
          <w:color w:val="000000"/>
        </w:rPr>
        <w:t>7</w:t>
      </w:r>
      <w:r w:rsidR="00DA7F27">
        <w:rPr>
          <w:rFonts w:cs="Arial"/>
          <w:bCs/>
          <w:color w:val="000000"/>
        </w:rPr>
        <w:t>.2020</w:t>
      </w:r>
      <w:r w:rsidR="00967278">
        <w:rPr>
          <w:rFonts w:cs="Arial"/>
          <w:bCs/>
          <w:color w:val="000000"/>
        </w:rPr>
        <w:t xml:space="preserve"> – TSU3</w:t>
      </w:r>
      <w:r w:rsidR="000A6C4F">
        <w:rPr>
          <w:rFonts w:cs="Arial"/>
          <w:bCs/>
          <w:color w:val="000000"/>
        </w:rPr>
        <w:t>2</w:t>
      </w:r>
      <w:r w:rsidR="00967278">
        <w:rPr>
          <w:rFonts w:cs="Arial"/>
          <w:bCs/>
          <w:color w:val="000000"/>
        </w:rPr>
        <w:t>3</w:t>
      </w:r>
    </w:p>
    <w:p w14:paraId="62D98C78" w14:textId="01CDAB23" w:rsidR="008C2C73" w:rsidRPr="00A53FB3" w:rsidRDefault="008C2C73" w:rsidP="00A53FB3">
      <w:pPr>
        <w:autoSpaceDE w:val="0"/>
        <w:autoSpaceDN w:val="0"/>
        <w:adjustRightInd w:val="0"/>
        <w:spacing w:before="240" w:after="0" w:line="240" w:lineRule="auto"/>
        <w:rPr>
          <w:rFonts w:cs="Calibri"/>
          <w:color w:val="000000"/>
          <w:lang w:eastAsia="de-DE"/>
        </w:rPr>
      </w:pPr>
      <w:r>
        <w:rPr>
          <w:rFonts w:cs="Arial"/>
          <w:bCs/>
          <w:color w:val="000000"/>
          <w:u w:val="single"/>
        </w:rPr>
        <w:t>Kurzfassung</w:t>
      </w:r>
      <w:r w:rsidRPr="009023A8">
        <w:rPr>
          <w:rFonts w:cs="Arial"/>
          <w:bCs/>
          <w:color w:val="000000"/>
          <w:u w:val="single"/>
        </w:rPr>
        <w:t>:</w:t>
      </w:r>
    </w:p>
    <w:p w14:paraId="4EEEC669" w14:textId="77777777" w:rsidR="00BE6D46" w:rsidRDefault="00BE6D46" w:rsidP="00DD52DF">
      <w:pPr>
        <w:rPr>
          <w:rFonts w:cs="Arial"/>
          <w:bCs/>
          <w:color w:val="000000"/>
          <w:u w:val="single"/>
        </w:rPr>
      </w:pPr>
    </w:p>
    <w:p w14:paraId="404D9F19" w14:textId="026FE611" w:rsidR="000A6C4F" w:rsidRPr="0033315C" w:rsidRDefault="00A461F5" w:rsidP="000A6C4F">
      <w:pPr>
        <w:rPr>
          <w:sz w:val="36"/>
          <w:szCs w:val="36"/>
        </w:rPr>
      </w:pPr>
      <w:r>
        <w:rPr>
          <w:sz w:val="36"/>
          <w:szCs w:val="36"/>
        </w:rPr>
        <w:br/>
      </w:r>
      <w:r w:rsidR="00561946">
        <w:rPr>
          <w:sz w:val="36"/>
          <w:szCs w:val="36"/>
        </w:rPr>
        <w:t>Schwerelos und reibungsfrei</w:t>
      </w:r>
    </w:p>
    <w:p w14:paraId="24AEFA98" w14:textId="117FF590" w:rsidR="000A6C4F" w:rsidRPr="000A6C4F" w:rsidRDefault="000A6C4F" w:rsidP="00F21071">
      <w:r w:rsidRPr="00F21071">
        <w:t>BR-HT-Rücklaufsperren (Backstop Reducer High Torque) von TSUBAKI verhindern das ungewollte Zurücklaufen von z. B. Förderbändern in Industrieanwendungen. Durch die Keilwirkung von Klemmkörpern werden der innere bzw. äußere Ring zuverlässig gesperrt. Bei einer Störung wird so der Rücklauf nahezu verzögerungsfrei gestoppt. Die Rücklaufsperre kann direkt in Maschinen eingebaut werden. Daher sind Anwendungen prädestiniert, die wenig Bauraum zur Verfügung haben wie bei Industriegetrieben für Schrägförderer oder Becherwerke, Pumpen, Trommelmotoren und Winden.</w:t>
      </w:r>
      <w:r w:rsidR="00F21071" w:rsidRPr="00F21071">
        <w:t xml:space="preserve"> Das Drehmoment beträgt bis zu</w:t>
      </w:r>
      <w:r w:rsidR="00F21071">
        <w:rPr>
          <w:b/>
          <w:bCs/>
        </w:rPr>
        <w:t xml:space="preserve"> </w:t>
      </w:r>
      <w:r w:rsidRPr="000A6C4F">
        <w:t xml:space="preserve">366 kN. Der Freilauf ist so konstruiert, dass er sich über eine Standard-Passfedernut direkt auf die Hochgeschwindigkeitswelle eines Getriebes montieren lässt. Für mehr Sicherheit und Zuverlässigkeit in kritischen Situationen verfügen die Rücklaufsperren über ein einzigartiges Non-Rollover-Klemmkörperdesign. Die BR-HT Serie gibt es in Größen von 20 bis 320 mm Bohrungsdurchmesser. </w:t>
      </w:r>
      <w:r w:rsidR="00F21071">
        <w:t>Neben Standard</w:t>
      </w:r>
      <w:r w:rsidRPr="000A6C4F">
        <w:t xml:space="preserve">größen </w:t>
      </w:r>
      <w:r w:rsidR="00F21071">
        <w:t xml:space="preserve">passt </w:t>
      </w:r>
      <w:r w:rsidRPr="000A6C4F">
        <w:t xml:space="preserve">TSUBAKI die Freiläufe </w:t>
      </w:r>
      <w:r w:rsidR="00F21071">
        <w:t xml:space="preserve">auch </w:t>
      </w:r>
      <w:r w:rsidRPr="000A6C4F">
        <w:t xml:space="preserve">kundenspezifisch an. </w:t>
      </w:r>
    </w:p>
    <w:p w14:paraId="53AD919A" w14:textId="77777777" w:rsidR="000C1CE2" w:rsidRDefault="000C1CE2" w:rsidP="000A6C4F">
      <w:pPr>
        <w:rPr>
          <w:b/>
          <w:bCs/>
        </w:rPr>
      </w:pPr>
    </w:p>
    <w:p w14:paraId="67D050E3" w14:textId="19D9CD81" w:rsidR="000A6C4F" w:rsidRPr="000A6C4F" w:rsidRDefault="000A6C4F" w:rsidP="000A6C4F">
      <w:pPr>
        <w:rPr>
          <w:b/>
          <w:bCs/>
        </w:rPr>
      </w:pPr>
      <w:r w:rsidRPr="000A6C4F">
        <w:rPr>
          <w:b/>
          <w:bCs/>
        </w:rPr>
        <w:t>Bild:</w:t>
      </w:r>
    </w:p>
    <w:p w14:paraId="3DBC1318" w14:textId="4B896958" w:rsidR="000A6C4F" w:rsidRPr="000A6C4F" w:rsidRDefault="000A6C4F" w:rsidP="000A6C4F">
      <w:pPr>
        <w:rPr>
          <w:b/>
          <w:bCs/>
          <w:sz w:val="20"/>
          <w:szCs w:val="20"/>
        </w:rPr>
      </w:pPr>
      <w:r w:rsidRPr="000A6C4F">
        <w:rPr>
          <w:b/>
          <w:bCs/>
          <w:sz w:val="20"/>
          <w:szCs w:val="20"/>
        </w:rPr>
        <w:t xml:space="preserve">Ruecklaufsperre1.jpg: Die Rücklaufsperren der BR-HT -Serie von </w:t>
      </w:r>
      <w:r w:rsidR="003B7378">
        <w:rPr>
          <w:b/>
          <w:bCs/>
          <w:sz w:val="20"/>
          <w:szCs w:val="20"/>
        </w:rPr>
        <w:t>TSUBAKI</w:t>
      </w:r>
      <w:r w:rsidRPr="000A6C4F">
        <w:rPr>
          <w:b/>
          <w:bCs/>
          <w:sz w:val="20"/>
          <w:szCs w:val="20"/>
        </w:rPr>
        <w:t xml:space="preserve"> verfügen über ein einzigartiges Non-Rollover-Klemmkörperdesign.</w:t>
      </w:r>
    </w:p>
    <w:p w14:paraId="7FF83250" w14:textId="77777777" w:rsidR="00A461F5" w:rsidRDefault="00A461F5" w:rsidP="00A53FB3">
      <w:pPr>
        <w:rPr>
          <w:u w:val="single"/>
        </w:rPr>
      </w:pPr>
    </w:p>
    <w:p w14:paraId="51978FC1" w14:textId="77777777" w:rsidR="000C1CE2" w:rsidRDefault="000C1CE2" w:rsidP="00A53FB3">
      <w:pPr>
        <w:rPr>
          <w:u w:val="single"/>
        </w:rPr>
      </w:pPr>
    </w:p>
    <w:p w14:paraId="513FA50C" w14:textId="77777777" w:rsidR="000C1CE2" w:rsidRDefault="000C1CE2" w:rsidP="00A53FB3">
      <w:pPr>
        <w:rPr>
          <w:u w:val="single"/>
        </w:rPr>
      </w:pPr>
    </w:p>
    <w:p w14:paraId="7E477788" w14:textId="77777777" w:rsidR="000C1CE2" w:rsidRDefault="000C1CE2" w:rsidP="00A53FB3">
      <w:pPr>
        <w:rPr>
          <w:u w:val="single"/>
        </w:rPr>
      </w:pPr>
    </w:p>
    <w:p w14:paraId="3E105AA0" w14:textId="11AB9388" w:rsidR="008C2C73" w:rsidRPr="005F291F" w:rsidRDefault="008C2C73" w:rsidP="00A53FB3">
      <w:pPr>
        <w:rPr>
          <w:b/>
          <w:u w:val="single"/>
        </w:rPr>
      </w:pPr>
      <w:r w:rsidRPr="005F291F">
        <w:rPr>
          <w:u w:val="single"/>
        </w:rPr>
        <w:t>Kontakt:</w:t>
      </w:r>
    </w:p>
    <w:p w14:paraId="147184FE" w14:textId="77330B9A"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6207C815" w14:textId="77777777"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40C2BECA" w14:textId="77777777" w:rsidR="008C2C73" w:rsidRDefault="008C2C73"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10687B37" w14:textId="35201552" w:rsidR="00044A72" w:rsidRPr="00C41B18" w:rsidRDefault="008C2C73" w:rsidP="000C1CE2">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A6C4F"/>
    <w:rsid w:val="000B1BA2"/>
    <w:rsid w:val="000B3193"/>
    <w:rsid w:val="000C1CE2"/>
    <w:rsid w:val="000C4AC8"/>
    <w:rsid w:val="000C5BCA"/>
    <w:rsid w:val="000D3CC4"/>
    <w:rsid w:val="000E1A0A"/>
    <w:rsid w:val="000F0951"/>
    <w:rsid w:val="00111DD7"/>
    <w:rsid w:val="0013775F"/>
    <w:rsid w:val="00137BC7"/>
    <w:rsid w:val="00147271"/>
    <w:rsid w:val="00155F26"/>
    <w:rsid w:val="00186D1E"/>
    <w:rsid w:val="001A1C6D"/>
    <w:rsid w:val="001F51CA"/>
    <w:rsid w:val="001F7564"/>
    <w:rsid w:val="00200F54"/>
    <w:rsid w:val="00204EDD"/>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43E9C"/>
    <w:rsid w:val="00367799"/>
    <w:rsid w:val="00367896"/>
    <w:rsid w:val="00374638"/>
    <w:rsid w:val="00374BDA"/>
    <w:rsid w:val="003A0420"/>
    <w:rsid w:val="003A490B"/>
    <w:rsid w:val="003B14D1"/>
    <w:rsid w:val="003B7378"/>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1946"/>
    <w:rsid w:val="00567024"/>
    <w:rsid w:val="00571D56"/>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67278"/>
    <w:rsid w:val="00977F52"/>
    <w:rsid w:val="009A0C5E"/>
    <w:rsid w:val="009C369F"/>
    <w:rsid w:val="009F0CBD"/>
    <w:rsid w:val="00A0145A"/>
    <w:rsid w:val="00A11433"/>
    <w:rsid w:val="00A30886"/>
    <w:rsid w:val="00A461F5"/>
    <w:rsid w:val="00A53FB3"/>
    <w:rsid w:val="00A5404D"/>
    <w:rsid w:val="00A65CA6"/>
    <w:rsid w:val="00A81E2D"/>
    <w:rsid w:val="00A907B6"/>
    <w:rsid w:val="00AA52FD"/>
    <w:rsid w:val="00AD7349"/>
    <w:rsid w:val="00AE141E"/>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A7F27"/>
    <w:rsid w:val="00DB67D3"/>
    <w:rsid w:val="00DD1333"/>
    <w:rsid w:val="00DD52DF"/>
    <w:rsid w:val="00DF5A78"/>
    <w:rsid w:val="00E57D48"/>
    <w:rsid w:val="00E74FB5"/>
    <w:rsid w:val="00E853F9"/>
    <w:rsid w:val="00E93749"/>
    <w:rsid w:val="00EB1180"/>
    <w:rsid w:val="00EB5219"/>
    <w:rsid w:val="00EC1FC5"/>
    <w:rsid w:val="00EC1FD0"/>
    <w:rsid w:val="00EC419E"/>
    <w:rsid w:val="00F01EAE"/>
    <w:rsid w:val="00F025FB"/>
    <w:rsid w:val="00F129A5"/>
    <w:rsid w:val="00F21071"/>
    <w:rsid w:val="00F249A2"/>
    <w:rsid w:val="00F41BE4"/>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2076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2020-07-27T14:56:00Z</cp:lastPrinted>
  <dcterms:created xsi:type="dcterms:W3CDTF">2020-07-27T14:56:00Z</dcterms:created>
  <dcterms:modified xsi:type="dcterms:W3CDTF">2020-07-27T14:57:00Z</dcterms:modified>
</cp:coreProperties>
</file>