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F8E4" w14:textId="77777777" w:rsidR="00694FD8" w:rsidRDefault="00200F54" w:rsidP="00DD52DF">
      <w:pPr>
        <w:tabs>
          <w:tab w:val="left" w:pos="9356"/>
        </w:tabs>
        <w:ind w:right="184"/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6327E4" wp14:editId="5BFE27CC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0" name="Bild 10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6280EAC" w14:textId="354833F0" w:rsidR="00967278" w:rsidRDefault="00967278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F21071">
        <w:rPr>
          <w:rFonts w:cs="Arial"/>
          <w:bCs/>
          <w:color w:val="000000"/>
        </w:rPr>
        <w:t>2</w:t>
      </w:r>
      <w:r w:rsidR="00561946">
        <w:rPr>
          <w:rFonts w:cs="Arial"/>
          <w:bCs/>
          <w:color w:val="000000"/>
        </w:rPr>
        <w:t>7</w:t>
      </w:r>
      <w:r w:rsidR="00F21071">
        <w:rPr>
          <w:rFonts w:cs="Arial"/>
          <w:bCs/>
          <w:color w:val="000000"/>
        </w:rPr>
        <w:t>.07</w:t>
      </w:r>
      <w:r>
        <w:rPr>
          <w:rFonts w:cs="Arial"/>
          <w:bCs/>
          <w:color w:val="000000"/>
        </w:rPr>
        <w:t>.2020 – TSU3</w:t>
      </w:r>
      <w:r w:rsidR="000A6C4F">
        <w:rPr>
          <w:rFonts w:cs="Arial"/>
          <w:bCs/>
          <w:color w:val="000000"/>
        </w:rPr>
        <w:t>2</w:t>
      </w:r>
      <w:r>
        <w:rPr>
          <w:rFonts w:cs="Arial"/>
          <w:bCs/>
          <w:color w:val="000000"/>
        </w:rPr>
        <w:t>3</w:t>
      </w:r>
    </w:p>
    <w:p w14:paraId="4A4B9BAB" w14:textId="3BABBABF" w:rsidR="00694FD8" w:rsidRPr="00967278" w:rsidRDefault="008C2C73" w:rsidP="00967278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Arial"/>
          <w:bCs/>
          <w:color w:val="000000"/>
          <w:u w:val="single"/>
        </w:rPr>
        <w:t>Langfassung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14:paraId="0E319DA6" w14:textId="77777777" w:rsidR="00454D97" w:rsidRDefault="00454D97" w:rsidP="00A53FB3">
      <w:pPr>
        <w:pStyle w:val="StandardWeb"/>
        <w:spacing w:after="240" w:afterAutospacing="0" w:line="276" w:lineRule="auto"/>
        <w:rPr>
          <w:rFonts w:asciiTheme="minorHAnsi" w:hAnsiTheme="minorHAnsi"/>
        </w:rPr>
      </w:pPr>
    </w:p>
    <w:p w14:paraId="00145078" w14:textId="77777777" w:rsidR="00A461F5" w:rsidRDefault="00A461F5" w:rsidP="000A6C4F">
      <w:pPr>
        <w:rPr>
          <w:sz w:val="24"/>
          <w:szCs w:val="24"/>
        </w:rPr>
      </w:pPr>
    </w:p>
    <w:p w14:paraId="2BE64AF9" w14:textId="15B5F212" w:rsidR="000A6C4F" w:rsidRPr="00D0172D" w:rsidRDefault="000A6C4F" w:rsidP="000A6C4F">
      <w:pPr>
        <w:rPr>
          <w:sz w:val="24"/>
          <w:szCs w:val="24"/>
        </w:rPr>
      </w:pPr>
      <w:r w:rsidRPr="00D0172D">
        <w:rPr>
          <w:sz w:val="24"/>
          <w:szCs w:val="24"/>
        </w:rPr>
        <w:t xml:space="preserve">Hochgeschwindigkeits-Klemmkörperrücklaufsperre </w:t>
      </w:r>
      <w:r>
        <w:rPr>
          <w:sz w:val="24"/>
          <w:szCs w:val="24"/>
        </w:rPr>
        <w:t>sichern</w:t>
      </w:r>
      <w:r w:rsidRPr="00D0172D">
        <w:rPr>
          <w:sz w:val="24"/>
          <w:szCs w:val="24"/>
        </w:rPr>
        <w:t xml:space="preserve"> </w:t>
      </w:r>
      <w:r>
        <w:rPr>
          <w:sz w:val="24"/>
          <w:szCs w:val="24"/>
        </w:rPr>
        <w:t>Anlagen</w:t>
      </w:r>
      <w:r w:rsidRPr="00D0172D">
        <w:rPr>
          <w:sz w:val="24"/>
          <w:szCs w:val="24"/>
        </w:rPr>
        <w:t>ausf</w:t>
      </w:r>
      <w:r>
        <w:rPr>
          <w:sz w:val="24"/>
          <w:szCs w:val="24"/>
        </w:rPr>
        <w:t>ä</w:t>
      </w:r>
      <w:r w:rsidRPr="00D0172D">
        <w:rPr>
          <w:sz w:val="24"/>
          <w:szCs w:val="24"/>
        </w:rPr>
        <w:t>ll</w:t>
      </w:r>
      <w:r>
        <w:rPr>
          <w:sz w:val="24"/>
          <w:szCs w:val="24"/>
        </w:rPr>
        <w:t>e ab</w:t>
      </w:r>
    </w:p>
    <w:p w14:paraId="3CD70D45" w14:textId="502BF805" w:rsidR="000A6C4F" w:rsidRPr="0033315C" w:rsidRDefault="00561946" w:rsidP="000A6C4F">
      <w:pPr>
        <w:rPr>
          <w:sz w:val="36"/>
          <w:szCs w:val="36"/>
        </w:rPr>
      </w:pPr>
      <w:r>
        <w:rPr>
          <w:sz w:val="36"/>
          <w:szCs w:val="36"/>
        </w:rPr>
        <w:t>Schwerelos und reibungsfrei</w:t>
      </w:r>
    </w:p>
    <w:p w14:paraId="2124EF9A" w14:textId="1938090A" w:rsidR="000A6C4F" w:rsidRPr="000A6C4F" w:rsidRDefault="000A6C4F" w:rsidP="000A6C4F">
      <w:pPr>
        <w:rPr>
          <w:b/>
          <w:bCs/>
        </w:rPr>
      </w:pPr>
      <w:r w:rsidRPr="000A6C4F">
        <w:rPr>
          <w:b/>
          <w:bCs/>
        </w:rPr>
        <w:t xml:space="preserve">BR-HT-Rücklaufsperren (Backstop Reducer High Torque) von TSUBAKI verhindern das ungewollte Zurücklaufen </w:t>
      </w:r>
      <w:r>
        <w:rPr>
          <w:b/>
          <w:bCs/>
        </w:rPr>
        <w:t xml:space="preserve">von z. B. Förderbändern </w:t>
      </w:r>
      <w:r w:rsidRPr="000A6C4F">
        <w:rPr>
          <w:b/>
          <w:bCs/>
        </w:rPr>
        <w:t>in Industrieanwendungen. Durch die Keilwirkung von Klemmkörpern werden der innere bzw. äußere Ring zuverlässig gesperrt. Bei einer Störung wird so der Rücklauf nahezu verzögerungsfrei gestoppt. Die BR-HT-Rücklaufsperre kann direkt in Maschinen eingebaut werden. Daher sind Anwendungen prädestiniert, die wenig Bauraum zur Verfügung haben wie bei Industriegetrieben für Schrägförderer oder Becherwerke, Pumpen, Trommelmotoren und Winden.</w:t>
      </w:r>
    </w:p>
    <w:p w14:paraId="2108B120" w14:textId="77777777" w:rsidR="000A6C4F" w:rsidRPr="000A6C4F" w:rsidRDefault="000A6C4F" w:rsidP="000A6C4F">
      <w:r w:rsidRPr="000A6C4F">
        <w:t xml:space="preserve">Die BR-HT-Serie unterscheidet sich von den Rücklaufsperren der älteren BR-Serie durch ein höheres   Drehmoment von bis zu 366 kN. Der Freilauf ist so konstruiert, dass er sich über eine Standard-Passfedernut direkt auf die Hochgeschwindigkeitswelle eines Getriebes montieren lässt. Ein verstärkter Innenring und das robuste Design des Außenrings stellen sicher, dass sich die BR-HT-Serie für Hochleistungsanwendungen in Bergbau und Steinbruch eignet. Für mehr Sicherheit und Zuverlässigkeit in kritischen Situationen verfügen die Rücklaufsperren über ein einzigartiges Non-Rollover-Klemmkörperdesign. </w:t>
      </w:r>
    </w:p>
    <w:p w14:paraId="657FEBB8" w14:textId="77777777" w:rsidR="000A6C4F" w:rsidRPr="000A6C4F" w:rsidRDefault="000A6C4F" w:rsidP="000A6C4F">
      <w:pPr>
        <w:rPr>
          <w:sz w:val="24"/>
          <w:szCs w:val="24"/>
        </w:rPr>
      </w:pPr>
      <w:r w:rsidRPr="000A6C4F">
        <w:rPr>
          <w:sz w:val="24"/>
          <w:szCs w:val="24"/>
        </w:rPr>
        <w:t>Kundenspezifische Anpassungen</w:t>
      </w:r>
    </w:p>
    <w:p w14:paraId="7782DC8A" w14:textId="77777777" w:rsidR="000A6C4F" w:rsidRPr="000A6C4F" w:rsidRDefault="000A6C4F" w:rsidP="000A6C4F">
      <w:r w:rsidRPr="000A6C4F">
        <w:t xml:space="preserve">Die BR-HT Serie gibt es in Größen von 20 bis 320 mm Bohrungsdurchmesser. Ein breites Angebot von Standardgrößen ist ab Lager verfügbar, um die Lieferzeiten für die meisten Aufträge zu minimieren. </w:t>
      </w:r>
    </w:p>
    <w:p w14:paraId="72538D25" w14:textId="7A9A2EE2" w:rsidR="000A6C4F" w:rsidRPr="000A6C4F" w:rsidRDefault="000A6C4F" w:rsidP="000A6C4F">
      <w:r w:rsidRPr="000A6C4F">
        <w:t xml:space="preserve">TSUBAKI passt die Freiläufe an kundenspezifische Wellen an. Sonderinnenringe im Standarddesign decken kleinere Bohrdurchmesser als der Standard ab. Vom Standard abweichende besondere Kundenwünsche werden </w:t>
      </w:r>
      <w:r w:rsidR="00204EDD">
        <w:t xml:space="preserve">mit </w:t>
      </w:r>
      <w:r w:rsidRPr="000A6C4F">
        <w:t>individuellen Konstruktionen realisiert.</w:t>
      </w:r>
    </w:p>
    <w:p w14:paraId="0A5ABDC1" w14:textId="77777777" w:rsidR="000A6C4F" w:rsidRPr="000A6C4F" w:rsidRDefault="000A6C4F" w:rsidP="000A6C4F">
      <w:r w:rsidRPr="000A6C4F">
        <w:t xml:space="preserve">Die Rücklaufsperren sind einfach zu montieren und im Wesentlichen wartungsfrei. Bereits im Getriebe vorhandene Schmierstoffe werden dazu zur Schmierung der Rücklaufsperren verwendet. </w:t>
      </w:r>
    </w:p>
    <w:p w14:paraId="562E4B96" w14:textId="69AF6A86" w:rsidR="000A6C4F" w:rsidRPr="000A6C4F" w:rsidRDefault="000A6C4F" w:rsidP="000A6C4F">
      <w:r w:rsidRPr="000A6C4F">
        <w:t xml:space="preserve">Jede Rücklaufsperre wird mit Betriebs- und Installationsanleitung (inkl. Schmierempfehlung) ausgeliefert und ist standardmäßig </w:t>
      </w:r>
      <w:r w:rsidR="00204EDD">
        <w:t>im</w:t>
      </w:r>
      <w:r w:rsidRPr="000A6C4F">
        <w:t xml:space="preserve"> Temperaturbereich zwischen -5° und + 40 °C einsetzbar. Temperaturen außerhalb dieses Bereichs können durch Anpassungen und nach Rücksprache mit TSUBAKI ebenfalls realisiert werden.</w:t>
      </w:r>
    </w:p>
    <w:p w14:paraId="417CCF5C" w14:textId="77777777" w:rsidR="00A461F5" w:rsidRDefault="00A461F5" w:rsidP="000A6C4F">
      <w:pPr>
        <w:rPr>
          <w:sz w:val="24"/>
          <w:szCs w:val="24"/>
        </w:rPr>
      </w:pPr>
    </w:p>
    <w:p w14:paraId="4916955B" w14:textId="265FBA5A" w:rsidR="000A6C4F" w:rsidRPr="000A6C4F" w:rsidRDefault="000A6C4F" w:rsidP="000A6C4F">
      <w:pPr>
        <w:rPr>
          <w:sz w:val="24"/>
          <w:szCs w:val="24"/>
        </w:rPr>
      </w:pPr>
      <w:r w:rsidRPr="000A6C4F">
        <w:rPr>
          <w:sz w:val="24"/>
          <w:szCs w:val="24"/>
        </w:rPr>
        <w:lastRenderedPageBreak/>
        <w:t>Reibungsfreier Lauf im Betrieb</w:t>
      </w:r>
    </w:p>
    <w:p w14:paraId="026C9210" w14:textId="280E591C" w:rsidR="000A6C4F" w:rsidRPr="000A6C4F" w:rsidRDefault="000A6C4F" w:rsidP="000A6C4F">
      <w:r w:rsidRPr="000A6C4F">
        <w:t xml:space="preserve">Die BR-HT-Serie wurde im „Lift-off“-Design konstruiert. Das bedeutet, dass </w:t>
      </w:r>
      <w:r w:rsidR="00204EDD">
        <w:t>die Freiläufe im</w:t>
      </w:r>
      <w:r w:rsidRPr="000A6C4F">
        <w:t xml:space="preserve"> Normalbetrieb reibungsfrei </w:t>
      </w:r>
      <w:r w:rsidR="00204EDD">
        <w:t>laufen</w:t>
      </w:r>
      <w:r w:rsidRPr="000A6C4F">
        <w:t xml:space="preserve">. Oberhalb der Abhebedrehzahl (Lift-off Drehzahl) </w:t>
      </w:r>
      <w:r w:rsidR="00204EDD">
        <w:t>laufen</w:t>
      </w:r>
      <w:r w:rsidRPr="000A6C4F">
        <w:t xml:space="preserve"> sie mechanisch völlig kontaktlos. </w:t>
      </w:r>
    </w:p>
    <w:p w14:paraId="1A2C26AA" w14:textId="77777777" w:rsidR="000A6C4F" w:rsidRPr="000A6C4F" w:rsidRDefault="000A6C4F" w:rsidP="000A6C4F">
      <w:r w:rsidRPr="000A6C4F">
        <w:t>Daher kann die Rücklaufsperre im Lift-off-Modus unbegrenzt laufen. Verschleiß durch Reibung tritt lediglich bei Start oder Stopp auf. Rücklaufsperren im herkömmlichen Design sind hingegen ständig konstanter Reibung und somit Verschleiß ausgesetzt.</w:t>
      </w:r>
    </w:p>
    <w:p w14:paraId="2AD3F9BD" w14:textId="77777777" w:rsidR="000A6C4F" w:rsidRPr="000A6C4F" w:rsidRDefault="000A6C4F" w:rsidP="000A6C4F">
      <w:r w:rsidRPr="000A6C4F">
        <w:t>Für den MRO (Ersatzteil)-Markt überzeugt die BR-HT-Serie durch eine hundertprozentige Austauschbarkeit mit den meisten vergleichbaren Rücklaufsperren. Dank ihrer langen Lebensdauer lassen sich die Gesamtkosten bzw. TCO (Total Cost of Ownership) reduzieren.</w:t>
      </w:r>
    </w:p>
    <w:p w14:paraId="22C96EEE" w14:textId="77777777" w:rsidR="00111E64" w:rsidRDefault="00A461F5" w:rsidP="000A6C4F">
      <w:pPr>
        <w:rPr>
          <w:b/>
          <w:bCs/>
        </w:rPr>
      </w:pPr>
      <w:r>
        <w:rPr>
          <w:b/>
          <w:bCs/>
        </w:rPr>
        <w:br/>
      </w:r>
    </w:p>
    <w:p w14:paraId="7A764D77" w14:textId="6D8502CD" w:rsidR="000A6C4F" w:rsidRPr="000A6C4F" w:rsidRDefault="000A6C4F" w:rsidP="000A6C4F">
      <w:pPr>
        <w:rPr>
          <w:b/>
          <w:bCs/>
        </w:rPr>
      </w:pPr>
      <w:r w:rsidRPr="000A6C4F">
        <w:rPr>
          <w:b/>
          <w:bCs/>
        </w:rPr>
        <w:t>Bild:</w:t>
      </w:r>
    </w:p>
    <w:p w14:paraId="2786BC27" w14:textId="5A977DAD" w:rsidR="000A6C4F" w:rsidRPr="000A6C4F" w:rsidRDefault="000A6C4F" w:rsidP="000A6C4F">
      <w:pPr>
        <w:rPr>
          <w:b/>
          <w:bCs/>
          <w:sz w:val="20"/>
          <w:szCs w:val="20"/>
        </w:rPr>
      </w:pPr>
      <w:r w:rsidRPr="000A6C4F">
        <w:rPr>
          <w:b/>
          <w:bCs/>
          <w:sz w:val="20"/>
          <w:szCs w:val="20"/>
        </w:rPr>
        <w:t xml:space="preserve">Ruecklaufsperre1.jpg: Die Rücklaufsperren der BR-HT -Serie von </w:t>
      </w:r>
      <w:r w:rsidR="003B7378">
        <w:rPr>
          <w:b/>
          <w:bCs/>
          <w:sz w:val="20"/>
          <w:szCs w:val="20"/>
        </w:rPr>
        <w:t>TSUBAKI</w:t>
      </w:r>
      <w:r w:rsidRPr="000A6C4F">
        <w:rPr>
          <w:b/>
          <w:bCs/>
          <w:sz w:val="20"/>
          <w:szCs w:val="20"/>
        </w:rPr>
        <w:t xml:space="preserve"> verfügen über ein einzigartiges Non-Rollover-Klemmkörperdesign.</w:t>
      </w:r>
    </w:p>
    <w:p w14:paraId="468F6BDC" w14:textId="2BA67E57" w:rsidR="00602AD7" w:rsidRDefault="00602AD7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2D498E52" w14:textId="79E5BAE6" w:rsidR="00A461F5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7D4004F5" w14:textId="1C0B3181" w:rsidR="00A461F5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382636B6" w14:textId="77777777" w:rsidR="00A461F5" w:rsidRPr="00FC623B" w:rsidRDefault="00A461F5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</w:p>
    <w:p w14:paraId="0729C346" w14:textId="77777777" w:rsidR="004757D7" w:rsidRDefault="004757D7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834FA91" w14:textId="77777777" w:rsidR="00111DD7" w:rsidRDefault="00111DD7" w:rsidP="00111DD7">
      <w:pPr>
        <w:rPr>
          <w:lang w:eastAsia="de-DE"/>
        </w:rPr>
      </w:pPr>
    </w:p>
    <w:p w14:paraId="45FE810B" w14:textId="77777777" w:rsidR="00111E64" w:rsidRDefault="00111E64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FF0C8B1" w14:textId="77777777" w:rsidR="00111E64" w:rsidRDefault="00111E64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CE58652" w14:textId="77777777" w:rsidR="00111E64" w:rsidRDefault="00111E64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18DA655" w14:textId="77777777" w:rsidR="00111E64" w:rsidRDefault="00111E64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04F05EDB" w14:textId="77777777" w:rsidR="00111E64" w:rsidRDefault="00111E64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1D20B552" w14:textId="5232E10C" w:rsidR="00694FD8" w:rsidRPr="005F291F" w:rsidRDefault="00694FD8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  <w:r w:rsidR="00DD1333">
        <w:rPr>
          <w:rFonts w:ascii="Calibri" w:hAnsi="Calibri"/>
          <w:b w:val="0"/>
          <w:sz w:val="22"/>
          <w:szCs w:val="22"/>
          <w:u w:val="single"/>
        </w:rPr>
        <w:br/>
      </w:r>
    </w:p>
    <w:p w14:paraId="0AD8C456" w14:textId="564819E5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38F0DDE6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6E3F735A" w14:textId="77777777" w:rsidR="00BC0EF3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2513562" w14:textId="12C73202" w:rsidR="00DD52DF" w:rsidRDefault="00694FD8" w:rsidP="00DD52DF">
      <w:pPr>
        <w:rPr>
          <w:rStyle w:val="Hyperlink"/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DD52DF" w:rsidRPr="009F38C0">
        <w:rPr>
          <w:sz w:val="20"/>
          <w:szCs w:val="20"/>
        </w:rPr>
        <w:t>Presse Service Büro GbR, Stroge</w:t>
      </w:r>
      <w:r w:rsidR="00DD52DF">
        <w:rPr>
          <w:sz w:val="20"/>
          <w:szCs w:val="20"/>
        </w:rPr>
        <w:t>nstraße 16</w:t>
      </w:r>
      <w:r w:rsidR="00DD52DF" w:rsidRPr="009F38C0">
        <w:rPr>
          <w:sz w:val="20"/>
          <w:szCs w:val="20"/>
        </w:rPr>
        <w:t>,</w:t>
      </w:r>
      <w:r w:rsidR="00DD52DF">
        <w:rPr>
          <w:sz w:val="20"/>
          <w:szCs w:val="20"/>
        </w:rPr>
        <w:t xml:space="preserve"> 85465 Langenpreising,</w:t>
      </w:r>
      <w:r w:rsidR="00DD52DF" w:rsidRPr="009F38C0">
        <w:rPr>
          <w:sz w:val="20"/>
          <w:szCs w:val="20"/>
        </w:rPr>
        <w:t xml:space="preserve"> Tel.: </w:t>
      </w:r>
      <w:r w:rsidR="00DD52DF">
        <w:rPr>
          <w:sz w:val="20"/>
          <w:szCs w:val="20"/>
        </w:rPr>
        <w:t>+49 8762 7377 532</w:t>
      </w:r>
      <w:r w:rsidR="00DD52DF" w:rsidRPr="009F38C0">
        <w:rPr>
          <w:sz w:val="20"/>
          <w:szCs w:val="20"/>
        </w:rPr>
        <w:br/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p w14:paraId="7ED62075" w14:textId="77A82F5F" w:rsidR="00147271" w:rsidRDefault="00147271" w:rsidP="00DD52DF">
      <w:pPr>
        <w:rPr>
          <w:rStyle w:val="Hyperlink"/>
          <w:sz w:val="20"/>
          <w:szCs w:val="20"/>
        </w:rPr>
      </w:pPr>
    </w:p>
    <w:sectPr w:rsidR="00147271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8B8"/>
    <w:rsid w:val="00044A72"/>
    <w:rsid w:val="00065454"/>
    <w:rsid w:val="00067085"/>
    <w:rsid w:val="0007629C"/>
    <w:rsid w:val="000767F3"/>
    <w:rsid w:val="00083DE6"/>
    <w:rsid w:val="000A6C4F"/>
    <w:rsid w:val="000B1BA2"/>
    <w:rsid w:val="000B3193"/>
    <w:rsid w:val="000C4AC8"/>
    <w:rsid w:val="000C5BCA"/>
    <w:rsid w:val="000D3CC4"/>
    <w:rsid w:val="000E1A0A"/>
    <w:rsid w:val="000F0951"/>
    <w:rsid w:val="00111DD7"/>
    <w:rsid w:val="00111E64"/>
    <w:rsid w:val="0013775F"/>
    <w:rsid w:val="00137BC7"/>
    <w:rsid w:val="00147271"/>
    <w:rsid w:val="00155F26"/>
    <w:rsid w:val="00186D1E"/>
    <w:rsid w:val="001A1C6D"/>
    <w:rsid w:val="001F51CA"/>
    <w:rsid w:val="001F7564"/>
    <w:rsid w:val="00200F54"/>
    <w:rsid w:val="00204EDD"/>
    <w:rsid w:val="002057B4"/>
    <w:rsid w:val="00225CB3"/>
    <w:rsid w:val="00231D40"/>
    <w:rsid w:val="002352C5"/>
    <w:rsid w:val="00247CDD"/>
    <w:rsid w:val="00255D65"/>
    <w:rsid w:val="00263178"/>
    <w:rsid w:val="002A3B70"/>
    <w:rsid w:val="002C37C4"/>
    <w:rsid w:val="002C50D8"/>
    <w:rsid w:val="002E106A"/>
    <w:rsid w:val="002E5010"/>
    <w:rsid w:val="002E75F5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501A3F"/>
    <w:rsid w:val="00502ABD"/>
    <w:rsid w:val="00506C70"/>
    <w:rsid w:val="00526CE1"/>
    <w:rsid w:val="00526D72"/>
    <w:rsid w:val="005345AD"/>
    <w:rsid w:val="00537C67"/>
    <w:rsid w:val="00540F82"/>
    <w:rsid w:val="0054408A"/>
    <w:rsid w:val="005510BF"/>
    <w:rsid w:val="00561946"/>
    <w:rsid w:val="00567024"/>
    <w:rsid w:val="00571D56"/>
    <w:rsid w:val="005A1DED"/>
    <w:rsid w:val="005A3A31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86E9C"/>
    <w:rsid w:val="0089088F"/>
    <w:rsid w:val="008C2C73"/>
    <w:rsid w:val="009023A8"/>
    <w:rsid w:val="00914472"/>
    <w:rsid w:val="00967278"/>
    <w:rsid w:val="00977F52"/>
    <w:rsid w:val="009A0C5E"/>
    <w:rsid w:val="009C369F"/>
    <w:rsid w:val="009F0CBD"/>
    <w:rsid w:val="00A0145A"/>
    <w:rsid w:val="00A11433"/>
    <w:rsid w:val="00A30886"/>
    <w:rsid w:val="00A461F5"/>
    <w:rsid w:val="00A53FB3"/>
    <w:rsid w:val="00A5404D"/>
    <w:rsid w:val="00A65CA6"/>
    <w:rsid w:val="00A81E2D"/>
    <w:rsid w:val="00A907B6"/>
    <w:rsid w:val="00AA52FD"/>
    <w:rsid w:val="00AD7349"/>
    <w:rsid w:val="00AE141E"/>
    <w:rsid w:val="00B041AA"/>
    <w:rsid w:val="00B07962"/>
    <w:rsid w:val="00B3276B"/>
    <w:rsid w:val="00B42872"/>
    <w:rsid w:val="00B46E6F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47E7"/>
    <w:rsid w:val="00CE6058"/>
    <w:rsid w:val="00CF469F"/>
    <w:rsid w:val="00D15EDD"/>
    <w:rsid w:val="00D256EE"/>
    <w:rsid w:val="00D2611E"/>
    <w:rsid w:val="00D4095D"/>
    <w:rsid w:val="00D43782"/>
    <w:rsid w:val="00D73E75"/>
    <w:rsid w:val="00D7461F"/>
    <w:rsid w:val="00D87279"/>
    <w:rsid w:val="00D97514"/>
    <w:rsid w:val="00DA7F27"/>
    <w:rsid w:val="00DB67D3"/>
    <w:rsid w:val="00DD1333"/>
    <w:rsid w:val="00DD52DF"/>
    <w:rsid w:val="00DF5A78"/>
    <w:rsid w:val="00E57D48"/>
    <w:rsid w:val="00E74FB5"/>
    <w:rsid w:val="00E853F9"/>
    <w:rsid w:val="00E93749"/>
    <w:rsid w:val="00EB1180"/>
    <w:rsid w:val="00EB5219"/>
    <w:rsid w:val="00EC1FC5"/>
    <w:rsid w:val="00EC1FD0"/>
    <w:rsid w:val="00EC419E"/>
    <w:rsid w:val="00F01EAE"/>
    <w:rsid w:val="00F025FB"/>
    <w:rsid w:val="00F129A5"/>
    <w:rsid w:val="00F21071"/>
    <w:rsid w:val="00F249A2"/>
    <w:rsid w:val="00F41BE4"/>
    <w:rsid w:val="00F7621A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2020-07-27T14:44:00Z</cp:lastPrinted>
  <dcterms:created xsi:type="dcterms:W3CDTF">2020-07-27T14:57:00Z</dcterms:created>
  <dcterms:modified xsi:type="dcterms:W3CDTF">2020-07-27T14:58:00Z</dcterms:modified>
</cp:coreProperties>
</file>